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C52" w:rsidRPr="00F56D99" w:rsidRDefault="00844C52" w:rsidP="00844C52">
      <w:pPr>
        <w:rPr>
          <w:rFonts w:ascii="Arial" w:hAnsi="Arial" w:cs="Arial"/>
          <w:b/>
          <w:sz w:val="24"/>
        </w:rPr>
      </w:pPr>
      <w:r w:rsidRPr="00F56D99">
        <w:rPr>
          <w:rFonts w:ascii="Arial" w:hAnsi="Arial" w:cs="Arial"/>
          <w:b/>
          <w:sz w:val="24"/>
        </w:rPr>
        <w:t>TABELAS</w:t>
      </w:r>
    </w:p>
    <w:p w:rsidR="00844C52" w:rsidRPr="00F56D99" w:rsidRDefault="00844C52" w:rsidP="00844C52">
      <w:pPr>
        <w:pStyle w:val="Corpodetexto"/>
        <w:spacing w:line="276" w:lineRule="auto"/>
        <w:ind w:right="407"/>
        <w:jc w:val="both"/>
        <w:rPr>
          <w:lang w:eastAsia="en-US"/>
        </w:rPr>
      </w:pPr>
    </w:p>
    <w:p w:rsidR="00844C52" w:rsidRPr="00F56D99" w:rsidRDefault="00844C52" w:rsidP="00844C52">
      <w:pPr>
        <w:pStyle w:val="Corpodetexto"/>
        <w:spacing w:line="276" w:lineRule="auto"/>
        <w:ind w:right="407"/>
        <w:jc w:val="both"/>
      </w:pPr>
      <w:r w:rsidRPr="00F56D99">
        <w:t xml:space="preserve">Tabela </w:t>
      </w:r>
      <w:r w:rsidR="00AB73A6">
        <w:t>I</w:t>
      </w:r>
      <w:r w:rsidRPr="00F56D99">
        <w:t>: Plano geral de ação com descrição das ações e indicadores de acompanhamento para os problemas identificados no município de Granja (CE).</w:t>
      </w:r>
    </w:p>
    <w:p w:rsidR="00844C52" w:rsidRPr="00F56D99" w:rsidRDefault="00844C52" w:rsidP="00844C52">
      <w:pPr>
        <w:pStyle w:val="Corpodetexto"/>
        <w:spacing w:before="11"/>
      </w:pPr>
    </w:p>
    <w:tbl>
      <w:tblPr>
        <w:tblStyle w:val="TableNormal"/>
        <w:tblW w:w="10234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76"/>
        <w:gridCol w:w="992"/>
        <w:gridCol w:w="1418"/>
        <w:gridCol w:w="1417"/>
        <w:gridCol w:w="1701"/>
        <w:gridCol w:w="2268"/>
      </w:tblGrid>
      <w:tr w:rsidR="00844C52" w:rsidRPr="00F56D99" w:rsidTr="00C6352B">
        <w:trPr>
          <w:trHeight w:val="664"/>
        </w:trPr>
        <w:tc>
          <w:tcPr>
            <w:tcW w:w="1162" w:type="dxa"/>
          </w:tcPr>
          <w:p w:rsidR="00844C52" w:rsidRPr="00C6352B" w:rsidRDefault="00844C52" w:rsidP="00A70702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Problemas</w:t>
            </w:r>
            <w:proofErr w:type="spellEnd"/>
          </w:p>
        </w:tc>
        <w:tc>
          <w:tcPr>
            <w:tcW w:w="1276" w:type="dxa"/>
          </w:tcPr>
          <w:p w:rsidR="00844C52" w:rsidRPr="00C6352B" w:rsidRDefault="00844C52" w:rsidP="00A70702">
            <w:pPr>
              <w:pStyle w:val="TableParagraph"/>
              <w:spacing w:line="252" w:lineRule="exact"/>
              <w:ind w:left="138" w:right="13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Objetivos</w:t>
            </w:r>
            <w:proofErr w:type="spellEnd"/>
          </w:p>
        </w:tc>
        <w:tc>
          <w:tcPr>
            <w:tcW w:w="992" w:type="dxa"/>
          </w:tcPr>
          <w:p w:rsidR="00844C52" w:rsidRPr="00C6352B" w:rsidRDefault="00844C52" w:rsidP="00A70702">
            <w:pPr>
              <w:pStyle w:val="TableParagraph"/>
              <w:spacing w:line="252" w:lineRule="exact"/>
              <w:ind w:left="136" w:right="12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Ações</w:t>
            </w:r>
            <w:proofErr w:type="spellEnd"/>
          </w:p>
        </w:tc>
        <w:tc>
          <w:tcPr>
            <w:tcW w:w="1418" w:type="dxa"/>
          </w:tcPr>
          <w:p w:rsidR="00844C52" w:rsidRPr="00C6352B" w:rsidRDefault="00844C52" w:rsidP="00A70702">
            <w:pPr>
              <w:pStyle w:val="TableParagraph"/>
              <w:spacing w:line="252" w:lineRule="exact"/>
              <w:ind w:left="0" w:right="125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Viabilidade</w:t>
            </w:r>
            <w:proofErr w:type="spellEnd"/>
          </w:p>
        </w:tc>
        <w:tc>
          <w:tcPr>
            <w:tcW w:w="1417" w:type="dxa"/>
          </w:tcPr>
          <w:p w:rsidR="00844C52" w:rsidRPr="00C6352B" w:rsidRDefault="00844C52" w:rsidP="00A70702">
            <w:pPr>
              <w:pStyle w:val="TableParagraph"/>
              <w:spacing w:before="126"/>
              <w:ind w:left="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Responsável</w:t>
            </w:r>
            <w:proofErr w:type="spellEnd"/>
            <w:r w:rsidRPr="00C6352B">
              <w:rPr>
                <w:rFonts w:ascii="Arial" w:hAnsi="Arial" w:cs="Arial"/>
                <w:b/>
                <w:sz w:val="20"/>
                <w:szCs w:val="24"/>
              </w:rPr>
              <w:t>/</w:t>
            </w:r>
          </w:p>
          <w:p w:rsidR="00844C52" w:rsidRPr="00C6352B" w:rsidRDefault="00844C52" w:rsidP="00A70702">
            <w:pPr>
              <w:pStyle w:val="TableParagraph"/>
              <w:spacing w:before="126"/>
              <w:ind w:left="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Prazo</w:t>
            </w:r>
            <w:proofErr w:type="spellEnd"/>
          </w:p>
        </w:tc>
        <w:tc>
          <w:tcPr>
            <w:tcW w:w="1701" w:type="dxa"/>
          </w:tcPr>
          <w:p w:rsidR="00844C52" w:rsidRPr="00C6352B" w:rsidRDefault="00844C52" w:rsidP="00A70702">
            <w:pPr>
              <w:pStyle w:val="TableParagraph"/>
              <w:spacing w:before="126"/>
              <w:ind w:left="227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Recursos</w:t>
            </w:r>
            <w:proofErr w:type="spellEnd"/>
            <w:r w:rsidRPr="00C6352B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Necessários</w:t>
            </w:r>
            <w:proofErr w:type="spellEnd"/>
          </w:p>
        </w:tc>
        <w:tc>
          <w:tcPr>
            <w:tcW w:w="2268" w:type="dxa"/>
          </w:tcPr>
          <w:p w:rsidR="00844C52" w:rsidRPr="00C6352B" w:rsidRDefault="00844C52" w:rsidP="00A70702">
            <w:pPr>
              <w:pStyle w:val="TableParagraph"/>
              <w:spacing w:line="252" w:lineRule="exact"/>
              <w:ind w:left="223" w:right="21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Indicadores</w:t>
            </w:r>
            <w:proofErr w:type="spellEnd"/>
            <w:r w:rsidRPr="00C6352B">
              <w:rPr>
                <w:rFonts w:ascii="Arial" w:hAnsi="Arial" w:cs="Arial"/>
                <w:b/>
                <w:sz w:val="20"/>
                <w:szCs w:val="24"/>
              </w:rPr>
              <w:t xml:space="preserve"> de </w:t>
            </w:r>
            <w:proofErr w:type="spellStart"/>
            <w:r w:rsidRPr="00C6352B">
              <w:rPr>
                <w:rFonts w:ascii="Arial" w:hAnsi="Arial" w:cs="Arial"/>
                <w:b/>
                <w:sz w:val="20"/>
                <w:szCs w:val="24"/>
              </w:rPr>
              <w:t>acompanhamento</w:t>
            </w:r>
            <w:proofErr w:type="spellEnd"/>
          </w:p>
        </w:tc>
      </w:tr>
      <w:tr w:rsidR="00844C52" w:rsidRPr="00F56D99" w:rsidTr="00C6352B">
        <w:trPr>
          <w:trHeight w:val="998"/>
        </w:trPr>
        <w:tc>
          <w:tcPr>
            <w:tcW w:w="1162" w:type="dxa"/>
          </w:tcPr>
          <w:p w:rsidR="00844C52" w:rsidRPr="00F56D99" w:rsidRDefault="00844C52" w:rsidP="00A70702">
            <w:pPr>
              <w:pStyle w:val="TableParagraph"/>
              <w:spacing w:line="380" w:lineRule="atLeast"/>
              <w:ind w:right="154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Microgerência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Ineficaz dos problemas de Saúde Bucal.</w:t>
            </w:r>
          </w:p>
        </w:tc>
        <w:tc>
          <w:tcPr>
            <w:tcW w:w="1276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ind w:left="135" w:right="13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Ampliar a problematização das questões da saúde bucal</w:t>
            </w:r>
          </w:p>
        </w:tc>
        <w:tc>
          <w:tcPr>
            <w:tcW w:w="992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Reorganização do Plano de Saúde Municipal</w:t>
            </w:r>
          </w:p>
        </w:tc>
        <w:tc>
          <w:tcPr>
            <w:tcW w:w="1418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D99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417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SMS** e CSB**/</w:t>
            </w:r>
          </w:p>
          <w:p w:rsidR="00844C52" w:rsidRPr="00F56D99" w:rsidRDefault="00844C52" w:rsidP="00A70702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Janeiro a Junho 2019</w:t>
            </w:r>
          </w:p>
        </w:tc>
        <w:tc>
          <w:tcPr>
            <w:tcW w:w="1701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aplica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844C52" w:rsidRPr="00F56D99" w:rsidRDefault="00844C52" w:rsidP="00A70702">
            <w:pPr>
              <w:pStyle w:val="TableParagraph"/>
              <w:spacing w:line="249" w:lineRule="exact"/>
              <w:ind w:left="1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Cobertura populacional estimada das equipes de saúde bucal (ESB)**</w:t>
            </w:r>
          </w:p>
        </w:tc>
      </w:tr>
      <w:tr w:rsidR="00844C52" w:rsidRPr="00F56D99" w:rsidTr="00C6352B">
        <w:trPr>
          <w:trHeight w:val="663"/>
        </w:trPr>
        <w:tc>
          <w:tcPr>
            <w:tcW w:w="116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Alto índice de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Multilaçao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Dentária.</w:t>
            </w:r>
          </w:p>
        </w:tc>
        <w:tc>
          <w:tcPr>
            <w:tcW w:w="1276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35" w:right="13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Tirar o foco curativo dos procedimentos</w:t>
            </w:r>
          </w:p>
        </w:tc>
        <w:tc>
          <w:tcPr>
            <w:tcW w:w="99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Incrementos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aos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procedimentos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preventivos</w:t>
            </w:r>
            <w:proofErr w:type="spellEnd"/>
          </w:p>
        </w:tc>
        <w:tc>
          <w:tcPr>
            <w:tcW w:w="141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D99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417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CSB**/</w:t>
            </w:r>
          </w:p>
          <w:p w:rsidR="00844C52" w:rsidRPr="00F56D99" w:rsidRDefault="00844C52" w:rsidP="00A70702">
            <w:pPr>
              <w:pStyle w:val="TableParagraph"/>
              <w:spacing w:line="247" w:lineRule="exact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Junho 2019 a Janeiro de 2020</w:t>
            </w:r>
          </w:p>
        </w:tc>
        <w:tc>
          <w:tcPr>
            <w:tcW w:w="1701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aplica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CPOD°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CEOD°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(Componente Perdido),</w:t>
            </w:r>
          </w:p>
          <w:p w:rsidR="00844C52" w:rsidRPr="00F56D99" w:rsidRDefault="00844C52" w:rsidP="00A70702">
            <w:pPr>
              <w:pStyle w:val="TableParagraph"/>
              <w:spacing w:line="247" w:lineRule="exact"/>
              <w:ind w:left="1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Cobertura da ação coletiva - escovação dental supervisionada</w:t>
            </w:r>
          </w:p>
        </w:tc>
      </w:tr>
      <w:tr w:rsidR="00844C52" w:rsidRPr="00F56D99" w:rsidTr="00C6352B">
        <w:trPr>
          <w:trHeight w:val="333"/>
        </w:trPr>
        <w:tc>
          <w:tcPr>
            <w:tcW w:w="116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Falta de dados atualizados no LOA e PPA.</w:t>
            </w:r>
          </w:p>
        </w:tc>
        <w:tc>
          <w:tcPr>
            <w:tcW w:w="1276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35" w:right="13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Reorientar a alimentação dos Sistemas em Saúde</w:t>
            </w:r>
          </w:p>
        </w:tc>
        <w:tc>
          <w:tcPr>
            <w:tcW w:w="99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Ação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multidirectional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 xml:space="preserve"> da administração municipal para alimentação dos sistemas</w:t>
            </w:r>
          </w:p>
        </w:tc>
        <w:tc>
          <w:tcPr>
            <w:tcW w:w="141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D99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417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r w:rsidRPr="00F56D99">
              <w:rPr>
                <w:rFonts w:ascii="Arial" w:hAnsi="Arial" w:cs="Arial"/>
                <w:sz w:val="24"/>
                <w:szCs w:val="24"/>
              </w:rPr>
              <w:t xml:space="preserve">PM** e SMS**/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indeterminado</w:t>
            </w:r>
            <w:proofErr w:type="spellEnd"/>
          </w:p>
        </w:tc>
        <w:tc>
          <w:tcPr>
            <w:tcW w:w="1701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aplica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Proporção de população coberta pelo Programa Saúde da Família e População cadastrada no SIAB.</w:t>
            </w:r>
          </w:p>
        </w:tc>
      </w:tr>
      <w:tr w:rsidR="00844C52" w:rsidRPr="00F56D99" w:rsidTr="00C6352B">
        <w:trPr>
          <w:trHeight w:val="664"/>
        </w:trPr>
        <w:tc>
          <w:tcPr>
            <w:tcW w:w="116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Má distribuição de equipes de saúde bucal.</w:t>
            </w:r>
          </w:p>
        </w:tc>
        <w:tc>
          <w:tcPr>
            <w:tcW w:w="1276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35" w:right="13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Rever a logística de trabalho das ESB**</w:t>
            </w:r>
          </w:p>
        </w:tc>
        <w:tc>
          <w:tcPr>
            <w:tcW w:w="992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Reordenação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das ESB**</w:t>
            </w:r>
          </w:p>
        </w:tc>
        <w:tc>
          <w:tcPr>
            <w:tcW w:w="141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D99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417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SMS** e CSB**/ Janeiro a julho 2019</w:t>
            </w:r>
          </w:p>
        </w:tc>
        <w:tc>
          <w:tcPr>
            <w:tcW w:w="1701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F56D99">
              <w:rPr>
                <w:rFonts w:ascii="Arial" w:hAnsi="Arial" w:cs="Arial"/>
                <w:sz w:val="24"/>
                <w:szCs w:val="24"/>
              </w:rPr>
              <w:t>aplica</w:t>
            </w:r>
            <w:proofErr w:type="spellEnd"/>
            <w:r w:rsidRPr="00F56D9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844C52" w:rsidRPr="00F56D99" w:rsidRDefault="00844C52" w:rsidP="00A70702">
            <w:pPr>
              <w:pStyle w:val="TableParagraph"/>
              <w:spacing w:line="247" w:lineRule="exact"/>
              <w:ind w:left="11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56D99">
              <w:rPr>
                <w:rFonts w:ascii="Arial" w:hAnsi="Arial" w:cs="Arial"/>
                <w:sz w:val="24"/>
                <w:szCs w:val="24"/>
                <w:lang w:val="pt-BR"/>
              </w:rPr>
              <w:t>Primeiras consultas odontológicas, tratamentos concluídos</w:t>
            </w:r>
          </w:p>
        </w:tc>
      </w:tr>
    </w:tbl>
    <w:p w:rsidR="00844C52" w:rsidRPr="00F56D99" w:rsidRDefault="00844C52" w:rsidP="00844C52">
      <w:pPr>
        <w:jc w:val="both"/>
        <w:rPr>
          <w:rFonts w:ascii="Arial" w:hAnsi="Arial" w:cs="Arial"/>
          <w:sz w:val="24"/>
        </w:rPr>
      </w:pPr>
    </w:p>
    <w:p w:rsidR="00844C52" w:rsidRPr="00C6352B" w:rsidRDefault="00844C52" w:rsidP="00844C52">
      <w:pPr>
        <w:jc w:val="both"/>
        <w:rPr>
          <w:rFonts w:ascii="Arial" w:hAnsi="Arial" w:cs="Arial"/>
          <w:sz w:val="20"/>
        </w:rPr>
      </w:pPr>
      <w:r w:rsidRPr="00C6352B">
        <w:rPr>
          <w:rFonts w:ascii="Arial" w:hAnsi="Arial" w:cs="Arial"/>
          <w:sz w:val="20"/>
        </w:rPr>
        <w:t>* As ações não implicarão em aumento de gastos do que já é previsto no município. O processo de trabalho será o ponto crucial para otimizar os insumos e corpo profissional na consolidação do processo de intervenção.</w:t>
      </w:r>
    </w:p>
    <w:p w:rsidR="00844C52" w:rsidRPr="00C6352B" w:rsidRDefault="00844C52" w:rsidP="00844C52">
      <w:pPr>
        <w:jc w:val="both"/>
        <w:rPr>
          <w:rFonts w:ascii="Arial" w:hAnsi="Arial" w:cs="Arial"/>
          <w:sz w:val="20"/>
        </w:rPr>
      </w:pPr>
      <w:r w:rsidRPr="00C6352B">
        <w:rPr>
          <w:rFonts w:ascii="Arial" w:hAnsi="Arial" w:cs="Arial"/>
          <w:sz w:val="20"/>
        </w:rPr>
        <w:t>**SMS: Secretaria Municipal de Saúde, CSB: Coordenação de Saúde Bucal, PM: Prefeitura Municipal, ESB: Equipe de Saúde Bucal, SIAB: Sistema de Informação da Atenção Básica</w:t>
      </w:r>
    </w:p>
    <w:p w:rsidR="00844C52" w:rsidRPr="00C6352B" w:rsidRDefault="00844C52" w:rsidP="00844C52">
      <w:pPr>
        <w:jc w:val="both"/>
        <w:rPr>
          <w:rFonts w:ascii="Arial" w:hAnsi="Arial" w:cs="Arial"/>
          <w:sz w:val="20"/>
        </w:rPr>
      </w:pPr>
      <w:r w:rsidRPr="00C6352B">
        <w:rPr>
          <w:rFonts w:ascii="Arial" w:hAnsi="Arial" w:cs="Arial"/>
          <w:sz w:val="20"/>
        </w:rPr>
        <w:t>° CPOD e CEOD: Índice de Dentes Cariados Perdidos e Obturados em Dentes Permanentes e Decíduos, respectivamente.</w:t>
      </w:r>
    </w:p>
    <w:p w:rsidR="00C6352B" w:rsidRDefault="00C6352B" w:rsidP="00844C52">
      <w:pPr>
        <w:jc w:val="both"/>
        <w:rPr>
          <w:rFonts w:ascii="Arial" w:hAnsi="Arial" w:cs="Arial"/>
          <w:sz w:val="24"/>
        </w:rPr>
      </w:pPr>
    </w:p>
    <w:p w:rsidR="00844C52" w:rsidRPr="00F56D99" w:rsidRDefault="00844C52" w:rsidP="00844C52">
      <w:pPr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F56D99">
        <w:rPr>
          <w:rFonts w:ascii="Arial" w:hAnsi="Arial" w:cs="Arial"/>
          <w:sz w:val="24"/>
        </w:rPr>
        <w:lastRenderedPageBreak/>
        <w:t xml:space="preserve">Tabela </w:t>
      </w:r>
      <w:r w:rsidR="00AB73A6">
        <w:rPr>
          <w:rFonts w:ascii="Arial" w:hAnsi="Arial" w:cs="Arial"/>
          <w:sz w:val="24"/>
        </w:rPr>
        <w:t>II</w:t>
      </w:r>
      <w:r w:rsidRPr="00F56D99">
        <w:rPr>
          <w:rFonts w:ascii="Arial" w:hAnsi="Arial" w:cs="Arial"/>
          <w:sz w:val="24"/>
        </w:rPr>
        <w:t xml:space="preserve">: Critérios pré-estabelecidos para avaliação da </w:t>
      </w:r>
    </w:p>
    <w:p w:rsidR="00844C52" w:rsidRPr="00F56D99" w:rsidRDefault="00844C52" w:rsidP="00844C52">
      <w:pPr>
        <w:jc w:val="both"/>
        <w:rPr>
          <w:rFonts w:ascii="Arial" w:hAnsi="Arial" w:cs="Arial"/>
          <w:sz w:val="24"/>
        </w:rPr>
      </w:pPr>
      <w:r w:rsidRPr="00F56D99">
        <w:rPr>
          <w:rFonts w:ascii="Arial" w:hAnsi="Arial" w:cs="Arial"/>
          <w:sz w:val="24"/>
        </w:rPr>
        <w:t>situação de saúde bucal a Serem feitos em Granja (CE).</w:t>
      </w:r>
    </w:p>
    <w:p w:rsidR="00844C52" w:rsidRPr="00F56D99" w:rsidRDefault="00844C52" w:rsidP="00844C52">
      <w:pPr>
        <w:spacing w:line="20" w:lineRule="exact"/>
        <w:rPr>
          <w:rFonts w:ascii="Arial" w:hAnsi="Arial" w:cs="Arial"/>
          <w:sz w:val="24"/>
        </w:rPr>
      </w:pPr>
    </w:p>
    <w:p w:rsidR="00844C52" w:rsidRPr="00F56D99" w:rsidRDefault="00844C52" w:rsidP="00844C52">
      <w:pPr>
        <w:spacing w:line="20" w:lineRule="exact"/>
        <w:rPr>
          <w:rFonts w:ascii="Arial" w:hAnsi="Arial" w:cs="Arial"/>
          <w:sz w:val="24"/>
        </w:rPr>
      </w:pPr>
    </w:p>
    <w:p w:rsidR="00844C52" w:rsidRPr="00F56D99" w:rsidRDefault="00844C52" w:rsidP="00844C52">
      <w:pPr>
        <w:spacing w:line="224" w:lineRule="exact"/>
        <w:rPr>
          <w:rFonts w:ascii="Arial" w:hAnsi="Arial" w:cs="Arial"/>
          <w:sz w:val="24"/>
        </w:rPr>
      </w:pPr>
      <w:r w:rsidRPr="00F56D99"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F7B8F1" wp14:editId="7C7EBB61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3819525" cy="9525"/>
                <wp:effectExtent l="0" t="0" r="28575" b="28575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952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28C84" id="Conector reto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9pt" to="300.7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" strokeweight=".3pt">
                <w10:wrap anchorx="margin"/>
              </v:line>
            </w:pict>
          </mc:Fallback>
        </mc:AlternateConten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1620"/>
      </w:tblGrid>
      <w:tr w:rsidR="00844C52" w:rsidRPr="00F56D99" w:rsidTr="00A70702">
        <w:trPr>
          <w:trHeight w:val="162"/>
        </w:trPr>
        <w:tc>
          <w:tcPr>
            <w:tcW w:w="4400" w:type="dxa"/>
            <w:shd w:val="clear" w:color="auto" w:fill="auto"/>
            <w:vAlign w:val="bottom"/>
          </w:tcPr>
          <w:p w:rsidR="00844C52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</w:p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 xml:space="preserve">Dimensões e </w:t>
            </w:r>
            <w:proofErr w:type="spellStart"/>
            <w:r w:rsidRPr="00F56D99">
              <w:rPr>
                <w:rFonts w:ascii="Arial" w:eastAsia="Arial" w:hAnsi="Arial" w:cs="Arial"/>
                <w:sz w:val="24"/>
              </w:rPr>
              <w:t>subdimensões</w:t>
            </w:r>
            <w:proofErr w:type="spellEnd"/>
            <w:r w:rsidRPr="00F56D99">
              <w:rPr>
                <w:rFonts w:ascii="Arial" w:eastAsia="Arial" w:hAnsi="Arial" w:cs="Arial"/>
                <w:sz w:val="24"/>
              </w:rPr>
              <w:t xml:space="preserve"> analisadas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7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Pontuação máxima</w:t>
            </w:r>
          </w:p>
        </w:tc>
      </w:tr>
      <w:tr w:rsidR="00844C52" w:rsidRPr="00F56D99" w:rsidTr="00A70702">
        <w:trPr>
          <w:trHeight w:val="230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(Proposta)</w:t>
            </w:r>
          </w:p>
        </w:tc>
      </w:tr>
      <w:tr w:rsidR="00844C52" w:rsidRPr="00F56D99" w:rsidTr="00A70702">
        <w:trPr>
          <w:trHeight w:val="137"/>
        </w:trPr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rPr>
                <w:rFonts w:ascii="Arial" w:hAnsi="Arial" w:cs="Arial"/>
                <w:sz w:val="24"/>
              </w:rPr>
            </w:pPr>
          </w:p>
        </w:tc>
      </w:tr>
      <w:tr w:rsidR="00844C52" w:rsidRPr="00F56D99" w:rsidTr="00A70702">
        <w:trPr>
          <w:trHeight w:val="305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Planejamento e programação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1,5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28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Diagnóstico epidemiológico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0,6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Suporte da gestão aos profissionais e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rPr>
                <w:rFonts w:ascii="Arial" w:hAnsi="Arial" w:cs="Arial"/>
                <w:sz w:val="24"/>
              </w:rPr>
            </w:pP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às práticas na atenção básica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0,5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Oferta da assistência odontológica (cobertura potencial)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0,5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Utilização de serviços (cobertura real) segundo o *SIA-SUS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0,7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Integralidade da atenção em saúde bucal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1,0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Práticas educativas desenvolvidas pelos profissionais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0,9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Atividades junto aos **ACS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0,8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Práticas clínicas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0,5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Práticas desenvolvidas na família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0,8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Acolhimento e vínculo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1,0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Atenção integral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0,8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Total de práticas de saúde bucal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5,8</w:t>
            </w:r>
          </w:p>
        </w:tc>
      </w:tr>
      <w:tr w:rsidR="00844C52" w:rsidRPr="00F56D99" w:rsidTr="00A70702">
        <w:trPr>
          <w:trHeight w:val="224"/>
        </w:trPr>
        <w:tc>
          <w:tcPr>
            <w:tcW w:w="4400" w:type="dxa"/>
            <w:shd w:val="clear" w:color="auto" w:fill="auto"/>
            <w:vAlign w:val="bottom"/>
          </w:tcPr>
          <w:p w:rsidR="00844C52" w:rsidRPr="00F56D99" w:rsidRDefault="00844C52" w:rsidP="00A70702">
            <w:pPr>
              <w:spacing w:line="0" w:lineRule="atLeast"/>
              <w:ind w:left="100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Grau de implantação (total geral)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44C52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  <w:r w:rsidRPr="00F56D99">
              <w:rPr>
                <w:rFonts w:ascii="Arial" w:eastAsia="Arial" w:hAnsi="Arial" w:cs="Arial"/>
                <w:sz w:val="24"/>
              </w:rPr>
              <w:t>10,0</w:t>
            </w:r>
          </w:p>
          <w:p w:rsidR="00844C52" w:rsidRPr="00F56D99" w:rsidRDefault="00844C52" w:rsidP="00A70702">
            <w:pPr>
              <w:spacing w:line="0" w:lineRule="atLeast"/>
              <w:ind w:right="15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:rsidR="00844C52" w:rsidRPr="00F56D99" w:rsidRDefault="00844C52" w:rsidP="00844C52">
      <w:pPr>
        <w:spacing w:line="20" w:lineRule="exact"/>
        <w:rPr>
          <w:rFonts w:ascii="Arial" w:hAnsi="Arial" w:cs="Arial"/>
          <w:sz w:val="24"/>
        </w:rPr>
      </w:pPr>
    </w:p>
    <w:p w:rsidR="00844C52" w:rsidRPr="00F56D99" w:rsidRDefault="00844C52" w:rsidP="00844C52">
      <w:pPr>
        <w:spacing w:line="152" w:lineRule="exact"/>
        <w:rPr>
          <w:rFonts w:ascii="Arial" w:hAnsi="Arial" w:cs="Arial"/>
          <w:sz w:val="24"/>
        </w:rPr>
      </w:pPr>
      <w:r w:rsidRPr="00F56D99"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E78388" wp14:editId="60ADC5A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3790950" cy="9525"/>
                <wp:effectExtent l="0" t="0" r="19050" b="2857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952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0E5B" id="Conector reto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65pt" to="298.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" strokeweight=".3pt">
                <w10:wrap anchorx="margin"/>
              </v:line>
            </w:pict>
          </mc:Fallback>
        </mc:AlternateContent>
      </w:r>
    </w:p>
    <w:p w:rsidR="00844C52" w:rsidRPr="00F56D99" w:rsidRDefault="00844C52" w:rsidP="00844C52">
      <w:pPr>
        <w:spacing w:line="0" w:lineRule="atLeast"/>
        <w:ind w:left="6"/>
        <w:rPr>
          <w:rFonts w:ascii="Arial" w:eastAsia="Arial" w:hAnsi="Arial" w:cs="Arial"/>
          <w:sz w:val="24"/>
        </w:rPr>
      </w:pPr>
      <w:r w:rsidRPr="00F56D99">
        <w:rPr>
          <w:rFonts w:ascii="Arial" w:eastAsia="Arial" w:hAnsi="Arial" w:cs="Arial"/>
          <w:sz w:val="24"/>
        </w:rPr>
        <w:t>*SIA-SUS: Sistema de Informação Ambulatoriais do SUS</w:t>
      </w:r>
    </w:p>
    <w:p w:rsidR="00844C52" w:rsidRPr="00F56D99" w:rsidRDefault="00844C52" w:rsidP="00844C52">
      <w:pPr>
        <w:spacing w:line="0" w:lineRule="atLeast"/>
        <w:ind w:left="6"/>
        <w:rPr>
          <w:rFonts w:ascii="Arial" w:eastAsia="Arial" w:hAnsi="Arial" w:cs="Arial"/>
          <w:sz w:val="24"/>
        </w:rPr>
      </w:pPr>
      <w:r w:rsidRPr="00F56D99">
        <w:rPr>
          <w:rFonts w:ascii="Arial" w:eastAsia="Arial" w:hAnsi="Arial" w:cs="Arial"/>
          <w:sz w:val="24"/>
        </w:rPr>
        <w:t xml:space="preserve"> **ACS: Agentes Comunitários de Saúde.</w:t>
      </w:r>
    </w:p>
    <w:p w:rsidR="00844C52" w:rsidRPr="00F56D99" w:rsidRDefault="00844C52" w:rsidP="00844C52">
      <w:pPr>
        <w:tabs>
          <w:tab w:val="left" w:pos="226"/>
        </w:tabs>
        <w:spacing w:line="0" w:lineRule="atLeast"/>
        <w:ind w:left="226" w:hanging="226"/>
        <w:rPr>
          <w:rFonts w:ascii="Arial" w:eastAsia="Arial" w:hAnsi="Arial" w:cs="Arial"/>
          <w:sz w:val="24"/>
        </w:rPr>
      </w:pPr>
    </w:p>
    <w:p w:rsidR="00844C52" w:rsidRPr="00F56D99" w:rsidRDefault="00844C52" w:rsidP="00844C52">
      <w:pPr>
        <w:tabs>
          <w:tab w:val="left" w:pos="226"/>
        </w:tabs>
        <w:spacing w:line="0" w:lineRule="atLeast"/>
        <w:ind w:left="226" w:hanging="226"/>
        <w:rPr>
          <w:rFonts w:ascii="Arial" w:eastAsia="Arial" w:hAnsi="Arial" w:cs="Arial"/>
          <w:sz w:val="24"/>
        </w:rPr>
      </w:pPr>
    </w:p>
    <w:p w:rsidR="00844C52" w:rsidRDefault="00844C52"/>
    <w:sectPr w:rsidR="00844C52" w:rsidSect="00F56B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52"/>
    <w:rsid w:val="00844C52"/>
    <w:rsid w:val="00914D03"/>
    <w:rsid w:val="00AB73A6"/>
    <w:rsid w:val="00C6352B"/>
    <w:rsid w:val="00F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8C6EFB"/>
  <w15:chartTrackingRefBased/>
  <w15:docId w15:val="{9D6CD6D5-6482-CA42-B1B8-F741E587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egenda de figuras e tabelas"/>
    <w:qFormat/>
    <w:rsid w:val="00844C52"/>
    <w:rPr>
      <w:rFonts w:ascii="Times New Roman" w:eastAsia="Times New Roman" w:hAnsi="Times New Roman" w:cs="Times New Roman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4C52"/>
    <w:pPr>
      <w:tabs>
        <w:tab w:val="left" w:pos="0"/>
      </w:tabs>
      <w:ind w:right="18"/>
    </w:pPr>
    <w:rPr>
      <w:rFonts w:ascii="Arial" w:hAnsi="Arial" w:cs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44C52"/>
    <w:rPr>
      <w:rFonts w:ascii="Arial" w:eastAsia="Times New Roman" w:hAnsi="Arial" w:cs="Arial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44C5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C52"/>
    <w:pPr>
      <w:widowControl w:val="0"/>
      <w:autoSpaceDE w:val="0"/>
      <w:autoSpaceDN w:val="0"/>
      <w:ind w:left="107"/>
    </w:pPr>
    <w:rPr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Juliana.patologia92@gmail.com</dc:creator>
  <cp:keywords/>
  <dc:description/>
  <cp:lastModifiedBy>Juliana.patologia92@gmail.com</cp:lastModifiedBy>
  <cp:revision>4</cp:revision>
  <dcterms:created xsi:type="dcterms:W3CDTF">2019-12-13T23:46:00Z</dcterms:created>
  <dcterms:modified xsi:type="dcterms:W3CDTF">2019-12-14T00:17:00Z</dcterms:modified>
</cp:coreProperties>
</file>